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4" w:rsidRDefault="00500074" w:rsidP="005000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2A82" w:rsidRPr="00500074" w:rsidRDefault="00512A82" w:rsidP="0050007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074" w:rsidRPr="00500074" w:rsidRDefault="00500074" w:rsidP="005000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074" w:rsidRPr="00500074" w:rsidRDefault="00500074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00074" w:rsidRPr="00500074" w:rsidRDefault="00500074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 МУНИЦИПАЛЬНОГО РАЙОНА</w:t>
      </w:r>
    </w:p>
    <w:p w:rsidR="00500074" w:rsidRPr="00500074" w:rsidRDefault="00500074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500074" w:rsidRPr="00500074" w:rsidRDefault="00500074" w:rsidP="005000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0074" w:rsidRPr="00500074" w:rsidRDefault="00500074" w:rsidP="00500074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00074" w:rsidRPr="00500074" w:rsidRDefault="00500074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00074" w:rsidRPr="00500074" w:rsidRDefault="00500074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0074" w:rsidRPr="00500074" w:rsidRDefault="00500074" w:rsidP="0050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51001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29.06.2018</w:t>
      </w:r>
      <w:r w:rsidR="0046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751001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</w:p>
    <w:p w:rsidR="00500074" w:rsidRPr="00500074" w:rsidRDefault="00500074" w:rsidP="005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74" w:rsidRPr="00500074" w:rsidRDefault="009B0F32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462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Калачевского муниципального района Волгоградской области № 404 от 22.05.2018 г. «</w:t>
      </w:r>
      <w:r w:rsidR="00500074"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об Общественном совете по проведению независимой оценки качества условий осуществления образовательной деятельности муниципальных образовательных учреждений, подведомственных комитету по образованию администрации Калачевского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00074" w:rsidRPr="00500074" w:rsidRDefault="00500074" w:rsidP="005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0074" w:rsidRPr="00500074" w:rsidRDefault="00500074" w:rsidP="005000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на территории Калачевского муниципального района Волгоградской области Федерального закона от 05.12.2017г.  № 392-ФЗ «О внесении изменений в отдельные законодательные акты Российской Федерации по вопросам совершенствования  проведения независимой оценки качества условий оказания услуг организациям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медико</w:t>
      </w:r>
      <w:proofErr w:type="spellEnd"/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социальной</w:t>
      </w:r>
      <w:proofErr w:type="gramEnd"/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экспертизы» администрация Калачевского муниципального района Волгоградской области</w:t>
      </w:r>
    </w:p>
    <w:p w:rsidR="00500074" w:rsidRDefault="00500074" w:rsidP="0050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 :</w:t>
      </w:r>
    </w:p>
    <w:p w:rsidR="004622B1" w:rsidRPr="004622B1" w:rsidRDefault="004622B1" w:rsidP="004622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2B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</w:t>
      </w:r>
      <w:r w:rsidR="00721B09">
        <w:rPr>
          <w:rFonts w:ascii="Times New Roman" w:hAnsi="Times New Roman"/>
          <w:b w:val="0"/>
          <w:sz w:val="28"/>
          <w:szCs w:val="28"/>
        </w:rPr>
        <w:t xml:space="preserve">В Постановление </w:t>
      </w:r>
      <w:r w:rsidR="00A65AA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4622B1">
        <w:rPr>
          <w:rFonts w:ascii="Times New Roman" w:hAnsi="Times New Roman" w:cs="Times New Roman"/>
          <w:b w:val="0"/>
          <w:sz w:val="28"/>
          <w:szCs w:val="28"/>
        </w:rPr>
        <w:t>Калачевс</w:t>
      </w:r>
      <w:r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22.05.2018 г. № 404</w:t>
      </w:r>
      <w:r w:rsidRPr="004622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622B1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Положения об Общественном совете по проведению независимой оценки качества условий осуществления образовательной деятельности муниципальных образовательных учреждений, подведомственных комитету по образованию администрации Калачевского муниципального района Волгоградской области</w:t>
      </w:r>
      <w:r w:rsidRPr="004622B1">
        <w:rPr>
          <w:rFonts w:ascii="Times New Roman" w:hAnsi="Times New Roman" w:cs="Times New Roman"/>
          <w:b w:val="0"/>
          <w:sz w:val="28"/>
          <w:szCs w:val="28"/>
        </w:rPr>
        <w:t>» (далее Постановление) внести следующие изменения:</w:t>
      </w:r>
    </w:p>
    <w:p w:rsidR="004622B1" w:rsidRPr="004622B1" w:rsidRDefault="004622B1" w:rsidP="00462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A59" w:rsidRDefault="00721B09" w:rsidP="0040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В Приложение</w:t>
      </w:r>
      <w:r w:rsidR="00462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405A59" w:rsidRPr="00405A5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05A59" w:rsidRPr="00405A5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об Общественном совете по проведению независимой оценки качества условий осуществления образовательной деятельности муниципальных образовательных учреждений, подведомственных комитету по образованию администрации Калачевского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следующие изменения:</w:t>
      </w:r>
    </w:p>
    <w:p w:rsidR="00405A59" w:rsidRDefault="00405A59" w:rsidP="00405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раздел 3 «</w:t>
      </w:r>
      <w:r w:rsidRPr="00405A5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Функции и полномочия Общественного совета</w:t>
      </w:r>
      <w:r w:rsidR="00721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721B09" w:rsidRPr="00721B09" w:rsidRDefault="00405A59" w:rsidP="00721B09">
      <w:pPr>
        <w:keepNext/>
        <w:keepLines/>
        <w:widowControl w:val="0"/>
        <w:tabs>
          <w:tab w:val="left" w:pos="313"/>
        </w:tabs>
        <w:spacing w:after="310"/>
        <w:ind w:left="20"/>
        <w:jc w:val="center"/>
        <w:outlineLvl w:val="0"/>
        <w:rPr>
          <w:rFonts w:ascii="Times New Roman" w:eastAsia="Calibri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«</w:t>
      </w:r>
      <w:r w:rsidR="00721B09" w:rsidRPr="005000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Функции и полномочия Общественного совета</w:t>
      </w:r>
    </w:p>
    <w:p w:rsidR="00405A59" w:rsidRPr="00500074" w:rsidRDefault="00405A59" w:rsidP="00405A59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При проведении независимой оценки качества условий осуществления образовательной деятельности муниципальных образовательных учреждений Общественный совет: </w:t>
      </w:r>
    </w:p>
    <w:p w:rsidR="00405A59" w:rsidRPr="00500074" w:rsidRDefault="00405A59" w:rsidP="00405A59">
      <w:pPr>
        <w:widowControl w:val="0"/>
        <w:tabs>
          <w:tab w:val="left" w:pos="567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3.1.1. Определяет перечни муниципальных образовательных учреждений, в отношении которых проводится независимая оценка качества условий осуществления образовательной деятельности;</w:t>
      </w:r>
    </w:p>
    <w:p w:rsidR="00405A59" w:rsidRPr="00E857F5" w:rsidRDefault="00405A59" w:rsidP="00405A59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57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3.1.2.Проводит независимую оценку качества условий осуществления образовательной деятельности муниципального образовательного учреждения с учетом информации, представленной </w:t>
      </w:r>
      <w:r w:rsidR="00721B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организацией, которая осуществляет сбор и обобщение информации о качестве условий осуществления образовательной деятельности организациями (далее – Оператор);</w:t>
      </w:r>
    </w:p>
    <w:p w:rsidR="00405A59" w:rsidRDefault="00405A59" w:rsidP="00405A59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857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3.1.3. Принимает участие в рассмотрении проектов документации о закупках работ, услуг, а также проектов  муниципальных контрактов, заключаемых органами местно</w:t>
      </w:r>
      <w:r w:rsidR="00721B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 самоуправления с Оператором;</w:t>
      </w:r>
    </w:p>
    <w:p w:rsidR="00405A59" w:rsidRPr="00E857F5" w:rsidRDefault="00721B09" w:rsidP="00405A59">
      <w:pPr>
        <w:widowControl w:val="0"/>
        <w:tabs>
          <w:tab w:val="left" w:pos="567"/>
          <w:tab w:val="left" w:pos="709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3.1.4</w:t>
      </w:r>
      <w:r w:rsidR="00405A59" w:rsidRPr="00E857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.Представляет соответственно в администрацию Калачевского муниципального района результаты независимой оценки качества условий осуществления образовательной деятельности муниципальных образовательных учреждений, а также предложения об улучшении их деятельности.</w:t>
      </w:r>
    </w:p>
    <w:p w:rsidR="00405A59" w:rsidRPr="00500074" w:rsidRDefault="00405A59" w:rsidP="00405A59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К компетенции Общественного совета относится:</w:t>
      </w:r>
    </w:p>
    <w:p w:rsidR="00405A59" w:rsidRPr="00500074" w:rsidRDefault="00405A59" w:rsidP="00405A59">
      <w:pPr>
        <w:widowControl w:val="0"/>
        <w:tabs>
          <w:tab w:val="left" w:pos="567"/>
          <w:tab w:val="left" w:pos="709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3.2.1. Осуществление запросов в целях получения информации от муниципальных образовательных учреждений. Запросы Общественного совета должны соответствовать целям и задачам его деятельности.</w:t>
      </w:r>
    </w:p>
    <w:p w:rsidR="00405A59" w:rsidRPr="00500074" w:rsidRDefault="00405A59" w:rsidP="00405A59">
      <w:pPr>
        <w:widowControl w:val="0"/>
        <w:tabs>
          <w:tab w:val="left" w:pos="567"/>
          <w:tab w:val="left" w:pos="709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3.2.2. Направление членов Общественного совета для участия в </w:t>
      </w:r>
      <w:proofErr w:type="gramStart"/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заседаниях</w:t>
      </w:r>
      <w:proofErr w:type="gramEnd"/>
      <w:r w:rsidRPr="0050007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совещаниях, проводимых муниципальными образовательными учреждениями, на которых рассматриваются вопросы повышения эффективности деятельности муниципальных образовательных учреждений.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05A59" w:rsidRDefault="00405A59" w:rsidP="0040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21B09">
        <w:rPr>
          <w:rFonts w:ascii="Times New Roman" w:eastAsia="Times New Roman" w:hAnsi="Times New Roman" w:cs="Times New Roman"/>
          <w:sz w:val="28"/>
          <w:szCs w:val="28"/>
          <w:lang w:eastAsia="ar-SA"/>
        </w:rPr>
        <w:t>вп. 4.1.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«на основании обращения органа исполнительной власти в администрацию Калачевского муниципального района Волгоградской области»;</w:t>
      </w:r>
    </w:p>
    <w:p w:rsidR="00405A59" w:rsidRDefault="00405A59" w:rsidP="00405A5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21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п. 5.1 – исключить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2E77" w:rsidRDefault="00721B09" w:rsidP="00462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1.2. Приложение</w:t>
      </w:r>
      <w:r w:rsidR="00462E7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 Постановлению </w:t>
      </w:r>
      <w:r w:rsidR="00462E7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462E77" w:rsidRPr="00500074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Общественного совета</w:t>
      </w:r>
      <w:r w:rsidR="00462E77"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независимой оценки качества условий осуществления образовательной деятельности муниципальных образовательных учреждений, подведомственных комитету по образованию администрации Калачевского муниципального района Волгоградской области </w:t>
      </w:r>
      <w:r w:rsidR="00462E77" w:rsidRPr="00500074">
        <w:rPr>
          <w:rFonts w:ascii="Times New Roman" w:eastAsia="Calibri" w:hAnsi="Times New Roman" w:cs="Times New Roman"/>
          <w:sz w:val="28"/>
          <w:szCs w:val="28"/>
          <w:lang w:eastAsia="ru-RU"/>
        </w:rPr>
        <w:t>при администрации Калачевского муниципального района Волгоградской области</w:t>
      </w:r>
      <w:r w:rsidR="00462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в новой редакции согласно приложению к данному Постановлению.</w:t>
      </w:r>
    </w:p>
    <w:p w:rsidR="00500074" w:rsidRPr="00500074" w:rsidRDefault="00462E77" w:rsidP="00462E77">
      <w:pPr>
        <w:spacing w:before="48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0074" w:rsidRPr="00500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500074" w:rsidRPr="00500074" w:rsidRDefault="00462E77" w:rsidP="00462E77">
      <w:pPr>
        <w:spacing w:before="48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CC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00074" w:rsidRPr="0050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настоящего постановления </w:t>
      </w:r>
      <w:r w:rsidR="00CC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500074" w:rsidRPr="0050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муниципального района </w:t>
      </w:r>
      <w:proofErr w:type="spellStart"/>
      <w:r w:rsidR="00500074" w:rsidRPr="0050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С.Г.Подсеваткина</w:t>
      </w:r>
      <w:proofErr w:type="spellEnd"/>
      <w:r w:rsidR="00500074" w:rsidRPr="00500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074" w:rsidRPr="00500074" w:rsidRDefault="00500074" w:rsidP="00500074">
      <w:pPr>
        <w:spacing w:before="48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074" w:rsidRPr="00500074" w:rsidRDefault="00500074" w:rsidP="00500074">
      <w:pPr>
        <w:spacing w:before="48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B09" w:rsidRDefault="00500074" w:rsidP="0050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Калачевского </w:t>
      </w:r>
    </w:p>
    <w:p w:rsidR="00500074" w:rsidRPr="00500074" w:rsidRDefault="00500074" w:rsidP="0050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07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  П.Н. Харитоненко</w:t>
      </w:r>
    </w:p>
    <w:p w:rsidR="00500074" w:rsidRPr="00500074" w:rsidRDefault="00500074" w:rsidP="00500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462E77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Default="00500074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21B09" w:rsidRPr="00500074" w:rsidRDefault="00721B09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056437" w:rsidP="0075100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</w:t>
      </w:r>
    </w:p>
    <w:p w:rsidR="00500074" w:rsidRPr="00500074" w:rsidRDefault="00500074" w:rsidP="0075100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0007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 постановлению администрации</w:t>
      </w:r>
    </w:p>
    <w:p w:rsidR="00500074" w:rsidRPr="00500074" w:rsidRDefault="00500074" w:rsidP="0075100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0007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Калачевского муниципального района</w:t>
      </w:r>
    </w:p>
    <w:p w:rsidR="00500074" w:rsidRPr="00500074" w:rsidRDefault="00500074" w:rsidP="0075100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0007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Волгоградской области</w:t>
      </w:r>
    </w:p>
    <w:p w:rsidR="00500074" w:rsidRPr="00500074" w:rsidRDefault="00500074" w:rsidP="00751001">
      <w:pPr>
        <w:widowControl w:val="0"/>
        <w:suppressAutoHyphens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50007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 w:rsidR="0075100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29.06.2018</w:t>
      </w:r>
      <w:r w:rsidR="00462E7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75100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525</w:t>
      </w:r>
    </w:p>
    <w:p w:rsidR="00500074" w:rsidRPr="00500074" w:rsidRDefault="00500074" w:rsidP="00500074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500074" w:rsidRPr="00500074" w:rsidRDefault="00500074" w:rsidP="0050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074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Общественного совета</w:t>
      </w:r>
      <w:r w:rsidRPr="00500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проведению независимой оценки качества условий осуществления образовательной деятельности муниципальных образовательных учреждений, подведомственных комитету по образованию администрации Калачевского муниципального района Волгоградской области </w:t>
      </w:r>
      <w:r w:rsidRPr="00500074">
        <w:rPr>
          <w:rFonts w:ascii="Times New Roman" w:eastAsia="Calibri" w:hAnsi="Times New Roman" w:cs="Times New Roman"/>
          <w:sz w:val="28"/>
          <w:szCs w:val="28"/>
          <w:lang w:eastAsia="ru-RU"/>
        </w:rPr>
        <w:t>при администрации Калачевского муниципального района Волгоградской области</w:t>
      </w:r>
    </w:p>
    <w:p w:rsidR="00500074" w:rsidRPr="00500074" w:rsidRDefault="00500074" w:rsidP="005000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437" w:rsidRPr="00056437" w:rsidRDefault="00056437" w:rsidP="00056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Общественного совета – </w:t>
      </w:r>
      <w:proofErr w:type="spellStart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Берлизова</w:t>
      </w:r>
      <w:proofErr w:type="spellEnd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Надежда Ивановна, ветеран педагогического труда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</w:t>
      </w: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56437" w:rsidRPr="00056437" w:rsidRDefault="00056437" w:rsidP="00056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437" w:rsidRPr="00056437" w:rsidRDefault="00056437" w:rsidP="0005643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председателя Общественного совета – </w:t>
      </w:r>
      <w:proofErr w:type="spellStart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Страчкова</w:t>
      </w:r>
      <w:proofErr w:type="spellEnd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Петровна, директор муниципального казенного учреждения  культуры «Калачевская межпоселенческая центральная  библиотека»;</w:t>
      </w:r>
    </w:p>
    <w:p w:rsidR="00056437" w:rsidRPr="00056437" w:rsidRDefault="00056437" w:rsidP="0005643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Общественного совета – </w:t>
      </w:r>
      <w:proofErr w:type="spellStart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Чувилева</w:t>
      </w:r>
      <w:proofErr w:type="spellEnd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Зоя Ивановна, ветеран педагогического труда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56437" w:rsidRPr="00056437" w:rsidRDefault="00056437" w:rsidP="00056437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Члены Общественного совета:</w:t>
      </w:r>
    </w:p>
    <w:p w:rsidR="00056437" w:rsidRPr="00056437" w:rsidRDefault="00056437" w:rsidP="0005643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43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Шляховая</w:t>
      </w:r>
      <w:proofErr w:type="spellEnd"/>
      <w:r w:rsidRPr="0005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Павловна – </w:t>
      </w:r>
      <w:r w:rsidRPr="000564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заведующая реабилитационным отделением для детей и подростков с ограниченными возможностями</w:t>
      </w:r>
      <w:r w:rsidRPr="00056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ГКУ СО «Калачевский ЦСОН</w:t>
      </w:r>
      <w:proofErr w:type="gramStart"/>
      <w:r w:rsidRPr="00056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согласованию)</w:t>
      </w:r>
      <w:r w:rsidRPr="00056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56437" w:rsidRPr="00056437" w:rsidRDefault="00056437" w:rsidP="0005643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564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Луканина</w:t>
      </w:r>
      <w:proofErr w:type="spellEnd"/>
      <w:r w:rsidRPr="0005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05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Селивановна</w:t>
      </w:r>
      <w:proofErr w:type="spellEnd"/>
      <w:r w:rsidRPr="0005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 педагогического труд</w:t>
      </w:r>
      <w:proofErr w:type="gramStart"/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согласованию)</w:t>
      </w:r>
      <w:r w:rsidRPr="000564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0074" w:rsidRPr="00500074" w:rsidRDefault="00500074" w:rsidP="005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0" w:name="_GoBack"/>
      <w:bookmarkEnd w:id="0"/>
    </w:p>
    <w:p w:rsidR="00500074" w:rsidRPr="00500074" w:rsidRDefault="00500074" w:rsidP="00500074">
      <w:pPr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00074" w:rsidRPr="00500074" w:rsidRDefault="00500074" w:rsidP="005000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2CE5" w:rsidRDefault="00DD2CE5"/>
    <w:sectPr w:rsidR="00DD2CE5" w:rsidSect="0096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21F7CA4"/>
    <w:multiLevelType w:val="hybridMultilevel"/>
    <w:tmpl w:val="336E5950"/>
    <w:lvl w:ilvl="0" w:tplc="BEA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25D07F4"/>
    <w:multiLevelType w:val="hybridMultilevel"/>
    <w:tmpl w:val="592C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F0"/>
    <w:rsid w:val="00056437"/>
    <w:rsid w:val="000D41BE"/>
    <w:rsid w:val="00405A59"/>
    <w:rsid w:val="004622B1"/>
    <w:rsid w:val="00462E77"/>
    <w:rsid w:val="00500074"/>
    <w:rsid w:val="00512A82"/>
    <w:rsid w:val="00721B09"/>
    <w:rsid w:val="00751001"/>
    <w:rsid w:val="00840986"/>
    <w:rsid w:val="009617AD"/>
    <w:rsid w:val="009B0F32"/>
    <w:rsid w:val="00A65AA2"/>
    <w:rsid w:val="00B12AF0"/>
    <w:rsid w:val="00B40443"/>
    <w:rsid w:val="00C866C0"/>
    <w:rsid w:val="00CB52F5"/>
    <w:rsid w:val="00CC4036"/>
    <w:rsid w:val="00DA678E"/>
    <w:rsid w:val="00DD2CE5"/>
    <w:rsid w:val="00E857F5"/>
    <w:rsid w:val="00FE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2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22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GMY</cp:lastModifiedBy>
  <cp:revision>18</cp:revision>
  <cp:lastPrinted>2018-06-29T07:22:00Z</cp:lastPrinted>
  <dcterms:created xsi:type="dcterms:W3CDTF">2018-06-26T06:16:00Z</dcterms:created>
  <dcterms:modified xsi:type="dcterms:W3CDTF">2018-07-03T04:49:00Z</dcterms:modified>
</cp:coreProperties>
</file>